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内蒙古青城乳业交易中心</w:t>
      </w:r>
    </w:p>
    <w:p>
      <w:pPr>
        <w:spacing w:before="156" w:beforeLines="50" w:after="156" w:afterLines="50"/>
        <w:jc w:val="center"/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交易商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账户解锁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申请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表</w:t>
      </w:r>
    </w:p>
    <w:tbl>
      <w:tblPr>
        <w:tblStyle w:val="6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815"/>
        <w:gridCol w:w="2810"/>
        <w:gridCol w:w="1641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24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交易商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信息</w:t>
            </w: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交易商名称</w:t>
            </w:r>
          </w:p>
        </w:tc>
        <w:tc>
          <w:tcPr>
            <w:tcW w:w="28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交易商代码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统一社会信用代码</w:t>
            </w:r>
          </w:p>
        </w:tc>
        <w:tc>
          <w:tcPr>
            <w:tcW w:w="70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业务联系人</w:t>
            </w:r>
          </w:p>
        </w:tc>
        <w:tc>
          <w:tcPr>
            <w:tcW w:w="28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0" w:hRule="atLeast"/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账户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解锁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</w:t>
            </w:r>
          </w:p>
        </w:tc>
        <w:tc>
          <w:tcPr>
            <w:tcW w:w="8819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账户封锁及解锁原因说明：</w:t>
            </w:r>
          </w:p>
          <w:p>
            <w:pPr>
              <w:pStyle w:val="2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本人/本单位认可在此之前的所有交易结果，并愿意承担因账户解锁引起的一切风险与后果。</w:t>
            </w:r>
          </w:p>
          <w:p>
            <w:pPr>
              <w:pStyle w:val="2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4060" w:firstLineChars="14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申请交易商：</w:t>
            </w:r>
          </w:p>
          <w:p>
            <w:pPr>
              <w:spacing w:line="360" w:lineRule="auto"/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（签字/盖章）</w:t>
            </w:r>
          </w:p>
          <w:p>
            <w:pPr>
              <w:spacing w:line="360" w:lineRule="auto"/>
              <w:ind w:firstLine="3920" w:firstLineChars="1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0" w:lineRule="atLeast"/>
              <w:ind w:firstLine="3920" w:firstLineChars="1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日期:   年   月   日</w:t>
            </w:r>
          </w:p>
          <w:p>
            <w:pPr>
              <w:spacing w:line="0" w:lineRule="atLeast"/>
              <w:ind w:firstLine="4900" w:firstLineChars="17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特别提示：为确保您的账户安全，请在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解锁后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立即更改密码，妥善保管，并在以后的交易过程中适时变更。</w:t>
            </w:r>
          </w:p>
        </w:tc>
      </w:tr>
    </w:tbl>
    <w:p>
      <w:pPr>
        <w:snapToGrid w:val="0"/>
        <w:ind w:left="283" w:leftChars="135" w:right="258" w:rightChars="123"/>
        <w:rPr>
          <w:b/>
          <w:szCs w:val="21"/>
        </w:rPr>
      </w:pPr>
    </w:p>
    <w:p>
      <w:pPr>
        <w:snapToGrid w:val="0"/>
        <w:ind w:left="283" w:leftChars="135" w:right="258" w:rightChars="123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备注：</w:t>
      </w:r>
    </w:p>
    <w:p>
      <w:pPr>
        <w:snapToGrid w:val="0"/>
        <w:spacing w:line="320" w:lineRule="exact"/>
        <w:ind w:left="598" w:leftChars="135" w:right="258" w:rightChars="123" w:hanging="315" w:hangingChars="150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1、</w:t>
      </w:r>
      <w:r>
        <w:rPr>
          <w:rFonts w:hint="eastAsia" w:ascii="仿宋" w:hAnsi="仿宋" w:eastAsia="仿宋" w:cs="仿宋"/>
          <w:kern w:val="0"/>
          <w:sz w:val="21"/>
          <w:szCs w:val="21"/>
        </w:rPr>
        <w:t>申请时，交易商</w:t>
      </w:r>
      <w:r>
        <w:rPr>
          <w:rFonts w:hint="eastAsia" w:ascii="仿宋" w:hAnsi="仿宋" w:eastAsia="仿宋" w:cs="仿宋"/>
          <w:sz w:val="21"/>
          <w:szCs w:val="21"/>
        </w:rPr>
        <w:t>需提供业务联系人签字的身份证明文件以及营业执照（副本）复印件（所有资料均需加盖企业公章）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；</w:t>
      </w:r>
    </w:p>
    <w:p>
      <w:pPr>
        <w:snapToGrid w:val="0"/>
        <w:spacing w:line="320" w:lineRule="exact"/>
        <w:ind w:left="598" w:leftChars="135" w:right="258" w:rightChars="123" w:hanging="315" w:hangingChars="150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2、请交易商将该申请表及相关材料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递交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至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内蒙古青城乳业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交易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中心有限公司（呼和浩特市经济开发区如意总部基地水岸小镇G—2区G1栋8楼）。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MDU1NTRhMDE2YzU0NjdmYWRkNmM2MWUyMjA5ZjkifQ=="/>
  </w:docVars>
  <w:rsids>
    <w:rsidRoot w:val="00EB4FB3"/>
    <w:rsid w:val="000144AB"/>
    <w:rsid w:val="00043A5F"/>
    <w:rsid w:val="0006053E"/>
    <w:rsid w:val="00072DB6"/>
    <w:rsid w:val="00075F7F"/>
    <w:rsid w:val="000C01FF"/>
    <w:rsid w:val="0010162A"/>
    <w:rsid w:val="0011061A"/>
    <w:rsid w:val="00113B7C"/>
    <w:rsid w:val="00121091"/>
    <w:rsid w:val="001214CB"/>
    <w:rsid w:val="00145356"/>
    <w:rsid w:val="001D0956"/>
    <w:rsid w:val="002078C7"/>
    <w:rsid w:val="00222A81"/>
    <w:rsid w:val="00245A30"/>
    <w:rsid w:val="00291CBF"/>
    <w:rsid w:val="002B013B"/>
    <w:rsid w:val="002C2D25"/>
    <w:rsid w:val="002E3640"/>
    <w:rsid w:val="002E71BF"/>
    <w:rsid w:val="0030491F"/>
    <w:rsid w:val="00312228"/>
    <w:rsid w:val="00326774"/>
    <w:rsid w:val="003368DF"/>
    <w:rsid w:val="00356359"/>
    <w:rsid w:val="003603B7"/>
    <w:rsid w:val="00381B9D"/>
    <w:rsid w:val="00391E55"/>
    <w:rsid w:val="00395A23"/>
    <w:rsid w:val="003B2650"/>
    <w:rsid w:val="003D05F7"/>
    <w:rsid w:val="003D249B"/>
    <w:rsid w:val="003F6DC2"/>
    <w:rsid w:val="00404750"/>
    <w:rsid w:val="00440AD2"/>
    <w:rsid w:val="00452111"/>
    <w:rsid w:val="0045774C"/>
    <w:rsid w:val="00473DA0"/>
    <w:rsid w:val="00477CD4"/>
    <w:rsid w:val="004A5F4D"/>
    <w:rsid w:val="004C5DF4"/>
    <w:rsid w:val="00532006"/>
    <w:rsid w:val="00555786"/>
    <w:rsid w:val="00596D44"/>
    <w:rsid w:val="005A2BDC"/>
    <w:rsid w:val="005F2A50"/>
    <w:rsid w:val="006262BF"/>
    <w:rsid w:val="006352BA"/>
    <w:rsid w:val="006370B6"/>
    <w:rsid w:val="00652102"/>
    <w:rsid w:val="006656C0"/>
    <w:rsid w:val="006D7917"/>
    <w:rsid w:val="006E1FF6"/>
    <w:rsid w:val="00706C50"/>
    <w:rsid w:val="007576D3"/>
    <w:rsid w:val="00763D01"/>
    <w:rsid w:val="007857D4"/>
    <w:rsid w:val="007F239A"/>
    <w:rsid w:val="007F6ED7"/>
    <w:rsid w:val="008231A6"/>
    <w:rsid w:val="008270E8"/>
    <w:rsid w:val="008303FF"/>
    <w:rsid w:val="008313FF"/>
    <w:rsid w:val="008570F1"/>
    <w:rsid w:val="00860108"/>
    <w:rsid w:val="00881285"/>
    <w:rsid w:val="00892282"/>
    <w:rsid w:val="0089678D"/>
    <w:rsid w:val="008A3B08"/>
    <w:rsid w:val="008B7AAC"/>
    <w:rsid w:val="008D58E7"/>
    <w:rsid w:val="009123CC"/>
    <w:rsid w:val="00A14625"/>
    <w:rsid w:val="00A2022F"/>
    <w:rsid w:val="00A46709"/>
    <w:rsid w:val="00A5046D"/>
    <w:rsid w:val="00A7464D"/>
    <w:rsid w:val="00AB595D"/>
    <w:rsid w:val="00AF5AC2"/>
    <w:rsid w:val="00AF738A"/>
    <w:rsid w:val="00B666BA"/>
    <w:rsid w:val="00BB330A"/>
    <w:rsid w:val="00BC6D67"/>
    <w:rsid w:val="00C51841"/>
    <w:rsid w:val="00C526FF"/>
    <w:rsid w:val="00C87E7C"/>
    <w:rsid w:val="00C91E0E"/>
    <w:rsid w:val="00CA07B1"/>
    <w:rsid w:val="00CC2AB8"/>
    <w:rsid w:val="00CC2E8B"/>
    <w:rsid w:val="00CF0861"/>
    <w:rsid w:val="00CF7BBC"/>
    <w:rsid w:val="00D32AB7"/>
    <w:rsid w:val="00D56CC3"/>
    <w:rsid w:val="00D76314"/>
    <w:rsid w:val="00D831BB"/>
    <w:rsid w:val="00D936AF"/>
    <w:rsid w:val="00DB6CA3"/>
    <w:rsid w:val="00DC3CBE"/>
    <w:rsid w:val="00DD2E0F"/>
    <w:rsid w:val="00DD442C"/>
    <w:rsid w:val="00DD471D"/>
    <w:rsid w:val="00E10B36"/>
    <w:rsid w:val="00E1277E"/>
    <w:rsid w:val="00E42978"/>
    <w:rsid w:val="00E678BC"/>
    <w:rsid w:val="00E73B18"/>
    <w:rsid w:val="00E80FEC"/>
    <w:rsid w:val="00EB4FB3"/>
    <w:rsid w:val="00EB5D36"/>
    <w:rsid w:val="00F503A2"/>
    <w:rsid w:val="00F5212A"/>
    <w:rsid w:val="00F53AC8"/>
    <w:rsid w:val="00FA2F53"/>
    <w:rsid w:val="00FB499C"/>
    <w:rsid w:val="00FC65D2"/>
    <w:rsid w:val="00FD5012"/>
    <w:rsid w:val="049F554F"/>
    <w:rsid w:val="0B4B7E79"/>
    <w:rsid w:val="0CBF459E"/>
    <w:rsid w:val="0D5A25F6"/>
    <w:rsid w:val="0DDE4FD5"/>
    <w:rsid w:val="1A501008"/>
    <w:rsid w:val="3BDF1D94"/>
    <w:rsid w:val="3C634773"/>
    <w:rsid w:val="3CAE104A"/>
    <w:rsid w:val="3CE77152"/>
    <w:rsid w:val="3E307B3A"/>
    <w:rsid w:val="49A85EBB"/>
    <w:rsid w:val="5C2039D4"/>
    <w:rsid w:val="5C277114"/>
    <w:rsid w:val="5D183915"/>
    <w:rsid w:val="6A902328"/>
    <w:rsid w:val="7A680B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spacing w:line="360" w:lineRule="auto"/>
    </w:pPr>
    <w:rPr>
      <w:rFonts w:ascii="仿宋_GB2312" w:eastAsia="仿宋_GB2312"/>
      <w:sz w:val="30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autoRedefine/>
    <w:qFormat/>
    <w:uiPriority w:val="0"/>
    <w:rPr>
      <w:rFonts w:ascii="仿宋_GB2312" w:hAnsi="Cambria" w:eastAsia="仿宋_GB2312" w:cs="Times New Roman"/>
      <w:sz w:val="30"/>
      <w:szCs w:val="24"/>
    </w:rPr>
  </w:style>
  <w:style w:type="character" w:customStyle="1" w:styleId="9">
    <w:name w:val="批注框文本 字符"/>
    <w:basedOn w:val="7"/>
    <w:link w:val="3"/>
    <w:autoRedefine/>
    <w:semiHidden/>
    <w:qFormat/>
    <w:uiPriority w:val="99"/>
    <w:rPr>
      <w:rFonts w:ascii="Cambria" w:hAnsi="Cambria" w:eastAsia="宋体" w:cs="Times New Roman"/>
      <w:sz w:val="18"/>
      <w:szCs w:val="18"/>
    </w:rPr>
  </w:style>
  <w:style w:type="character" w:customStyle="1" w:styleId="10">
    <w:name w:val="页眉 字符"/>
    <w:basedOn w:val="7"/>
    <w:link w:val="5"/>
    <w:autoRedefine/>
    <w:qFormat/>
    <w:uiPriority w:val="99"/>
    <w:rPr>
      <w:rFonts w:ascii="Cambria" w:hAnsi="Cambria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rFonts w:ascii="Cambria" w:hAnsi="Cambria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35CFC-0A26-4E2E-968C-C9614D872E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301</Characters>
  <Lines>2</Lines>
  <Paragraphs>1</Paragraphs>
  <TotalTime>7</TotalTime>
  <ScaleCrop>false</ScaleCrop>
  <LinksUpToDate>false</LinksUpToDate>
  <CharactersWithSpaces>310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2014-02-20T06:53:00Z</dcterms:created>
  <dc:creator>a</dc:creator>
  <cp:lastModifiedBy>Administrator</cp:lastModifiedBy>
  <dcterms:modified xsi:type="dcterms:W3CDTF">2024-05-13T02:28:00Z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898D9E2834904B9FA05B665C1668E9DF_13</vt:lpwstr>
  </property>
</Properties>
</file>